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C615B8" w14:textId="0B85C4FC" w:rsidR="000B6690" w:rsidRPr="000B6690" w:rsidRDefault="000B6690" w:rsidP="000B6690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/>
          <w:noProof/>
          <w:kern w:val="0"/>
          <w:sz w:val="24"/>
          <w:szCs w:val="20"/>
        </w:rPr>
      </w:pPr>
      <w:r w:rsidRPr="000B6690">
        <w:rPr>
          <w:rFonts w:ascii="Arial" w:eastAsia="宋体" w:hAnsi="Arial" w:cs="Arial"/>
          <w:b/>
          <w:noProof/>
          <w:kern w:val="0"/>
          <w:sz w:val="24"/>
          <w:szCs w:val="20"/>
        </w:rPr>
        <w:t>3GPP TSG-RAN WG2 Meeting #11</w:t>
      </w:r>
      <w:r w:rsidR="00E35383">
        <w:rPr>
          <w:rFonts w:ascii="Arial" w:eastAsia="宋体" w:hAnsi="Arial" w:cs="Arial"/>
          <w:b/>
          <w:noProof/>
          <w:kern w:val="0"/>
          <w:sz w:val="24"/>
          <w:szCs w:val="20"/>
        </w:rPr>
        <w:t>6</w:t>
      </w:r>
      <w:r w:rsidRPr="000B6690">
        <w:rPr>
          <w:rFonts w:ascii="Arial" w:eastAsia="宋体" w:hAnsi="Arial" w:cs="Arial"/>
          <w:b/>
          <w:noProof/>
          <w:kern w:val="0"/>
          <w:sz w:val="24"/>
          <w:szCs w:val="20"/>
        </w:rPr>
        <w:t xml:space="preserve"> electronic</w:t>
      </w:r>
      <w:r w:rsidRPr="000B6690">
        <w:rPr>
          <w:rFonts w:ascii="Arial" w:eastAsia="宋体" w:hAnsi="Arial" w:cs="Arial"/>
          <w:b/>
          <w:noProof/>
          <w:kern w:val="0"/>
          <w:sz w:val="24"/>
          <w:szCs w:val="20"/>
        </w:rPr>
        <w:tab/>
      </w:r>
      <w:r w:rsidR="004B6657" w:rsidRPr="004B6657">
        <w:rPr>
          <w:rFonts w:ascii="Arial" w:eastAsia="宋体" w:hAnsi="Arial" w:cs="Arial"/>
          <w:b/>
          <w:noProof/>
          <w:kern w:val="0"/>
          <w:sz w:val="24"/>
          <w:szCs w:val="20"/>
        </w:rPr>
        <w:t>R2-2110306</w:t>
      </w:r>
    </w:p>
    <w:p w14:paraId="4BF14776" w14:textId="425FCE06" w:rsidR="00AA3FAE" w:rsidRPr="005B2E70" w:rsidRDefault="000B6690" w:rsidP="000B6690">
      <w:pPr>
        <w:tabs>
          <w:tab w:val="right" w:pos="9630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宋体" w:hAnsi="Arial" w:cs="Arial"/>
          <w:b/>
          <w:noProof/>
          <w:kern w:val="0"/>
          <w:sz w:val="24"/>
          <w:szCs w:val="20"/>
        </w:rPr>
      </w:pPr>
      <w:r w:rsidRPr="005C2CC5">
        <w:rPr>
          <w:rFonts w:ascii="Arial" w:eastAsia="宋体" w:hAnsi="Arial" w:cs="Arial"/>
          <w:b/>
          <w:sz w:val="24"/>
        </w:rPr>
        <w:t xml:space="preserve">Online, </w:t>
      </w:r>
      <w:r w:rsidR="00E35383">
        <w:rPr>
          <w:rFonts w:ascii="Arial" w:eastAsia="宋体" w:hAnsi="Arial" w:cs="Arial"/>
          <w:b/>
          <w:sz w:val="24"/>
        </w:rPr>
        <w:t>November</w:t>
      </w:r>
      <w:r w:rsidRPr="005C2CC5">
        <w:rPr>
          <w:rFonts w:ascii="Arial" w:eastAsia="宋体" w:hAnsi="Arial" w:cs="Arial"/>
          <w:b/>
          <w:sz w:val="24"/>
        </w:rPr>
        <w:t xml:space="preserve"> </w:t>
      </w:r>
      <w:r w:rsidR="00E35383">
        <w:rPr>
          <w:rFonts w:ascii="Arial" w:eastAsia="宋体" w:hAnsi="Arial" w:cs="Arial"/>
          <w:b/>
          <w:sz w:val="24"/>
        </w:rPr>
        <w:t>1</w:t>
      </w:r>
      <w:r w:rsidR="00E35383">
        <w:rPr>
          <w:rFonts w:ascii="Arial" w:eastAsia="宋体" w:hAnsi="Arial" w:cs="Arial"/>
          <w:b/>
          <w:sz w:val="24"/>
          <w:vertAlign w:val="superscript"/>
        </w:rPr>
        <w:t>st</w:t>
      </w:r>
      <w:r w:rsidRPr="005C2CC5">
        <w:rPr>
          <w:rFonts w:ascii="Arial" w:eastAsia="宋体" w:hAnsi="Arial" w:cs="Arial"/>
          <w:b/>
          <w:sz w:val="24"/>
        </w:rPr>
        <w:t xml:space="preserve"> –</w:t>
      </w:r>
      <w:r w:rsidR="00817607">
        <w:rPr>
          <w:rFonts w:ascii="Arial" w:eastAsia="宋体" w:hAnsi="Arial" w:cs="Arial"/>
          <w:b/>
          <w:sz w:val="24"/>
        </w:rPr>
        <w:t xml:space="preserve"> </w:t>
      </w:r>
      <w:r w:rsidR="00E35383">
        <w:rPr>
          <w:rFonts w:ascii="Arial" w:eastAsia="宋体" w:hAnsi="Arial" w:cs="Arial"/>
          <w:b/>
          <w:sz w:val="24"/>
        </w:rPr>
        <w:t>1</w:t>
      </w:r>
      <w:r w:rsidR="009479CD">
        <w:rPr>
          <w:rFonts w:ascii="Arial" w:eastAsia="宋体" w:hAnsi="Arial" w:cs="Arial"/>
          <w:b/>
          <w:sz w:val="24"/>
        </w:rPr>
        <w:t>2</w:t>
      </w:r>
      <w:r w:rsidRPr="005C2CC5">
        <w:rPr>
          <w:rFonts w:ascii="Arial" w:eastAsia="宋体" w:hAnsi="Arial" w:cs="Arial"/>
          <w:b/>
          <w:sz w:val="24"/>
          <w:vertAlign w:val="superscript"/>
        </w:rPr>
        <w:t>th</w:t>
      </w:r>
      <w:r w:rsidRPr="005C2CC5">
        <w:rPr>
          <w:rFonts w:ascii="Arial" w:eastAsia="宋体" w:hAnsi="Arial" w:cs="Arial"/>
          <w:b/>
          <w:sz w:val="24"/>
        </w:rPr>
        <w:t>, 2021</w:t>
      </w:r>
      <w:r w:rsidR="005B2E70">
        <w:rPr>
          <w:rFonts w:ascii="Arial" w:eastAsia="宋体" w:hAnsi="Arial" w:cs="Arial"/>
          <w:b/>
          <w:noProof/>
          <w:kern w:val="0"/>
          <w:sz w:val="24"/>
          <w:szCs w:val="20"/>
        </w:rPr>
        <w:tab/>
      </w:r>
      <w:r w:rsidR="00AA3FAE" w:rsidRPr="00AA3FAE">
        <w:rPr>
          <w:rFonts w:ascii="Arial" w:eastAsia="宋体" w:hAnsi="Arial" w:cs="黑体"/>
          <w:b/>
          <w:bCs/>
          <w:kern w:val="0"/>
          <w:sz w:val="24"/>
          <w:lang w:val="en-GB"/>
        </w:rPr>
        <w:tab/>
      </w:r>
      <w:r w:rsidR="00AA3FAE" w:rsidRPr="00AA3FAE">
        <w:rPr>
          <w:rFonts w:ascii="Arial" w:eastAsia="Dotum" w:hAnsi="Arial" w:cs="Times New Roman"/>
          <w:bCs/>
          <w:kern w:val="0"/>
          <w:sz w:val="24"/>
          <w:szCs w:val="18"/>
          <w:lang w:val="en-GB"/>
        </w:rPr>
        <w:tab/>
      </w:r>
      <w:r w:rsidR="00AA3FAE" w:rsidRPr="000B09C9">
        <w:rPr>
          <w:rFonts w:ascii="Arial" w:eastAsia="Dotum" w:hAnsi="Arial" w:cs="Times New Roman"/>
          <w:b/>
          <w:bCs/>
          <w:kern w:val="0"/>
          <w:sz w:val="24"/>
          <w:szCs w:val="18"/>
          <w:lang w:val="en-GB"/>
        </w:rPr>
        <w:tab/>
      </w:r>
    </w:p>
    <w:p w14:paraId="18D15929" w14:textId="77777777" w:rsidR="00D85C0E" w:rsidRPr="00733434" w:rsidRDefault="00D85C0E" w:rsidP="00D85C0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Agenda Item: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Pr="000B09C9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8.4.</w:t>
      </w:r>
      <w:r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2</w:t>
      </w:r>
    </w:p>
    <w:p w14:paraId="3A7B9F35" w14:textId="77777777" w:rsidR="00AA3FAE" w:rsidRPr="000B09C9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 xml:space="preserve">Source: 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Pr="000B09C9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Lenovo, Motorola Mobility</w:t>
      </w:r>
    </w:p>
    <w:p w14:paraId="31958A79" w14:textId="6C1E9A76" w:rsidR="00D85C0E" w:rsidRPr="00733434" w:rsidRDefault="00D85C0E" w:rsidP="00D85C0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ind w:left="3865" w:hangingChars="1750" w:hanging="3865"/>
        <w:textAlignment w:val="baseline"/>
        <w:rPr>
          <w:rFonts w:ascii="Arial" w:eastAsia="MS Mincho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 xml:space="preserve">Title: 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="00233E1E" w:rsidRPr="00233E1E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Discussion on LCG extension and congestion mi</w:t>
      </w:r>
      <w:r w:rsidR="00233E1E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tig</w:t>
      </w:r>
      <w:r w:rsidR="00233E1E" w:rsidRPr="00233E1E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ation for IAB</w:t>
      </w:r>
    </w:p>
    <w:p w14:paraId="586F74AD" w14:textId="77777777" w:rsidR="00AA3FAE" w:rsidRPr="000B09C9" w:rsidRDefault="00AA3FAE" w:rsidP="00AA3FAE">
      <w:pPr>
        <w:widowControl/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</w:pP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Document for:</w:t>
      </w:r>
      <w:r w:rsidRPr="00733434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ab/>
      </w:r>
      <w:r w:rsidRPr="000B09C9">
        <w:rPr>
          <w:rFonts w:ascii="Arial" w:eastAsia="宋体" w:hAnsi="Arial" w:cs="Times New Roman"/>
          <w:b/>
          <w:bCs/>
          <w:kern w:val="0"/>
          <w:sz w:val="22"/>
          <w:szCs w:val="20"/>
          <w:lang w:val="en-GB"/>
        </w:rPr>
        <w:t>Discussion and decision</w:t>
      </w:r>
    </w:p>
    <w:p w14:paraId="46DBFDB8" w14:textId="10C31FE6" w:rsidR="00AA3FAE" w:rsidRPr="000D2B2B" w:rsidRDefault="00AA3FAE" w:rsidP="000D2B2B">
      <w:pPr>
        <w:pStyle w:val="ac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0D2B2B">
        <w:rPr>
          <w:rFonts w:ascii="Arial" w:eastAsia="Dotum" w:hAnsi="Arial" w:cs="Times New Roman"/>
          <w:kern w:val="0"/>
          <w:sz w:val="36"/>
          <w:szCs w:val="36"/>
          <w:lang w:val="en-GB"/>
        </w:rPr>
        <w:t>Introduction</w:t>
      </w:r>
      <w:bookmarkStart w:id="0" w:name="_Ref174151459"/>
      <w:bookmarkStart w:id="1" w:name="_Ref189809556"/>
    </w:p>
    <w:p w14:paraId="338E65E3" w14:textId="0689F893" w:rsidR="00180374" w:rsidRDefault="00180374" w:rsidP="007A5DEA">
      <w:pPr>
        <w:spacing w:after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n the WID of R17 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0"/>
        </w:rPr>
        <w:t>eIAB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0"/>
        </w:rPr>
        <w:t>, following objectives were set to be discussed and led by RAN2.</w:t>
      </w:r>
    </w:p>
    <w:tbl>
      <w:tblPr>
        <w:tblW w:w="9673" w:type="dxa"/>
        <w:tblInd w:w="-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3"/>
      </w:tblGrid>
      <w:tr w:rsidR="00180374" w14:paraId="4A27B43E" w14:textId="77777777" w:rsidTr="00186944">
        <w:trPr>
          <w:trHeight w:val="290"/>
        </w:trPr>
        <w:tc>
          <w:tcPr>
            <w:tcW w:w="9673" w:type="dxa"/>
          </w:tcPr>
          <w:p w14:paraId="62B10B0E" w14:textId="77777777" w:rsidR="00180374" w:rsidRPr="00180374" w:rsidRDefault="00180374" w:rsidP="00180374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jc w:val="left"/>
              <w:textAlignment w:val="baseline"/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</w:pPr>
            <w:r w:rsidRPr="00180374">
              <w:rPr>
                <w:rFonts w:ascii="Times New Roman" w:eastAsia="宋体" w:hAnsi="Times New Roman" w:cs="Times New Roman"/>
                <w:bCs/>
                <w:kern w:val="0"/>
                <w:sz w:val="20"/>
                <w:szCs w:val="20"/>
                <w:lang w:val="en-GB" w:eastAsia="en-GB"/>
              </w:rPr>
              <w:t>Topology, routing and transport enhancements [RAN2-led, RAN3]:</w:t>
            </w:r>
          </w:p>
          <w:p w14:paraId="43FFDF56" w14:textId="7015CB7D" w:rsidR="00180374" w:rsidRPr="00180374" w:rsidRDefault="00180374" w:rsidP="00180374">
            <w:pPr>
              <w:widowControl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60"/>
              <w:jc w:val="left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</w:pPr>
            <w:r w:rsidRPr="00180374">
              <w:rPr>
                <w:rFonts w:ascii="Times New Roman" w:eastAsia="宋体" w:hAnsi="Times New Roman" w:cs="Times New Roman"/>
                <w:kern w:val="0"/>
                <w:sz w:val="20"/>
                <w:szCs w:val="20"/>
                <w:lang w:val="en-GB" w:eastAsia="en-GB"/>
              </w:rPr>
              <w:t xml:space="preserve">Specifications of enhancements to improve topology-wide fairness, multi-hop latency and congestion mitigation </w:t>
            </w:r>
          </w:p>
        </w:tc>
      </w:tr>
    </w:tbl>
    <w:p w14:paraId="1889CBFE" w14:textId="6EF9D8F7" w:rsidR="00180374" w:rsidRPr="00180374" w:rsidRDefault="00180374" w:rsidP="00180374">
      <w:pPr>
        <w:spacing w:beforeLines="50" w:before="120" w:afterLines="50" w:after="120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H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owever, during the RAN plenary 93 e-meeting, e</w:t>
      </w:r>
      <w:r w:rsidRPr="0018037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nhancements to improve topology-wide fairness and multi-hop latency 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were agreed </w:t>
      </w:r>
      <w:r w:rsidRPr="00180374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to be deprioritized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in this release. Then, in this sub-objective, RAN2 will focus on the remaining issues for LCG extension and </w:t>
      </w:r>
      <w:r w:rsidRPr="00180374"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>congestion mitigation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en-GB" w:eastAsia="en-GB"/>
        </w:rPr>
        <w:t>.</w:t>
      </w:r>
    </w:p>
    <w:p w14:paraId="47F0D14A" w14:textId="270B1293" w:rsidR="00AA3FAE" w:rsidRPr="001119CE" w:rsidRDefault="00AA3FAE" w:rsidP="001119CE">
      <w:pPr>
        <w:pStyle w:val="ac"/>
        <w:keepNext/>
        <w:keepLines/>
        <w:widowControl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1119CE">
        <w:rPr>
          <w:rFonts w:ascii="Arial" w:eastAsia="宋体" w:hAnsi="Arial" w:cs="Times New Roman"/>
          <w:kern w:val="0"/>
          <w:sz w:val="36"/>
          <w:szCs w:val="36"/>
          <w:lang w:val="en-GB"/>
        </w:rPr>
        <w:t>Discussion</w:t>
      </w:r>
    </w:p>
    <w:p w14:paraId="2F2C834F" w14:textId="43C35916" w:rsidR="001C473D" w:rsidRPr="00BE12F3" w:rsidRDefault="001C473D" w:rsidP="00BE12F3">
      <w:pPr>
        <w:widowControl/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r w:rsidRPr="00BE12F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  <w:u w:val="single"/>
        </w:rPr>
        <w:t>L</w:t>
      </w:r>
      <w:r w:rsidR="00E65775"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 xml:space="preserve">CG </w:t>
      </w:r>
      <w:r w:rsidR="00180374"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extension for IAB</w:t>
      </w:r>
    </w:p>
    <w:p w14:paraId="25D6AA71" w14:textId="6E2C0324" w:rsidR="002334C4" w:rsidRPr="00BE12F3" w:rsidRDefault="002334C4" w:rsidP="002334C4">
      <w:pPr>
        <w:spacing w:afterLines="50" w:after="120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>n R16, LCH size for backhaul link had been extended while the extension of LCG had not been agreed. Now during the discussion of R17 IAB, LCG extension was revisited and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following agreements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had been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achieved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the RAN2 113bis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RAN2 116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e-meeting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[1]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[2]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tbl>
      <w:tblPr>
        <w:tblpPr w:leftFromText="180" w:rightFromText="180" w:vertAnchor="text" w:tblpX="11" w:tblpY="171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70"/>
      </w:tblGrid>
      <w:tr w:rsidR="002334C4" w:rsidRPr="00BE12F3" w14:paraId="53C3BFC1" w14:textId="77777777" w:rsidTr="00B56B5B">
        <w:trPr>
          <w:trHeight w:val="1833"/>
        </w:trPr>
        <w:tc>
          <w:tcPr>
            <w:tcW w:w="9670" w:type="dxa"/>
          </w:tcPr>
          <w:p w14:paraId="375587BE" w14:textId="77777777" w:rsidR="002334C4" w:rsidRPr="00BE12F3" w:rsidRDefault="002334C4" w:rsidP="00B56B5B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BE12F3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BE12F3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AN2 113bis-e:</w:t>
            </w:r>
          </w:p>
          <w:p w14:paraId="674563EE" w14:textId="77777777" w:rsidR="002334C4" w:rsidRDefault="002334C4" w:rsidP="00B56B5B">
            <w:pPr>
              <w:pStyle w:val="Agreement"/>
              <w:rPr>
                <w:rFonts w:ascii="Times New Roman" w:hAnsi="Times New Roman"/>
                <w:szCs w:val="20"/>
              </w:rPr>
            </w:pPr>
            <w:r w:rsidRPr="00BE12F3">
              <w:rPr>
                <w:rFonts w:ascii="Times New Roman" w:hAnsi="Times New Roman"/>
                <w:szCs w:val="20"/>
              </w:rPr>
              <w:t>LCG range to be extended for IAB-MT. Size of LCG and enhancements to BSR are FFS</w:t>
            </w:r>
          </w:p>
          <w:p w14:paraId="6C178E7B" w14:textId="77777777" w:rsidR="002334C4" w:rsidRDefault="002334C4" w:rsidP="00B56B5B">
            <w:pPr>
              <w:widowControl/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</w:pPr>
            <w:r w:rsidRPr="00EE59AA">
              <w:rPr>
                <w:rFonts w:ascii="Times New Roman" w:eastAsia="宋体" w:hAnsi="Times New Roman" w:cs="Times New Roman" w:hint="eastAsia"/>
                <w:kern w:val="0"/>
                <w:sz w:val="20"/>
                <w:szCs w:val="20"/>
              </w:rPr>
              <w:t>R</w:t>
            </w:r>
            <w:r w:rsidRPr="00EE59AA">
              <w:rPr>
                <w:rFonts w:ascii="Times New Roman" w:eastAsia="宋体" w:hAnsi="Times New Roman" w:cs="Times New Roman"/>
                <w:kern w:val="0"/>
                <w:sz w:val="20"/>
                <w:szCs w:val="20"/>
              </w:rPr>
              <w:t>AN2 115-e:</w:t>
            </w:r>
          </w:p>
          <w:p w14:paraId="5EC1E989" w14:textId="77777777" w:rsidR="002334C4" w:rsidRPr="00EE59AA" w:rsidRDefault="002334C4" w:rsidP="00B56B5B">
            <w:pPr>
              <w:pStyle w:val="Agreement"/>
              <w:rPr>
                <w:rFonts w:ascii="Times New Roman" w:hAnsi="Times New Roman"/>
                <w:szCs w:val="20"/>
              </w:rPr>
            </w:pPr>
            <w:r w:rsidRPr="00EE59AA">
              <w:rPr>
                <w:rFonts w:ascii="Times New Roman" w:hAnsi="Times New Roman"/>
                <w:szCs w:val="20"/>
              </w:rPr>
              <w:t>The length of LCG to be extended to 8 bits (i.e., at most 256 LCGs).</w:t>
            </w:r>
          </w:p>
          <w:p w14:paraId="5029197D" w14:textId="77777777" w:rsidR="002334C4" w:rsidRPr="00EE59AA" w:rsidRDefault="002334C4" w:rsidP="00B56B5B">
            <w:pPr>
              <w:pStyle w:val="Agreement"/>
              <w:rPr>
                <w:rFonts w:ascii="Times New Roman" w:hAnsi="Times New Roman"/>
                <w:szCs w:val="20"/>
              </w:rPr>
            </w:pPr>
            <w:r w:rsidRPr="00EE59AA">
              <w:rPr>
                <w:rFonts w:ascii="Times New Roman" w:hAnsi="Times New Roman"/>
                <w:szCs w:val="20"/>
              </w:rPr>
              <w:t>New Short (Truncated) BSR format to specified that has a fixed size and consists of an 8-bit LCG ID field and an 8-bit Buffer Size field.</w:t>
            </w:r>
          </w:p>
        </w:tc>
      </w:tr>
    </w:tbl>
    <w:p w14:paraId="680D8B6F" w14:textId="77777777" w:rsidR="005F12BE" w:rsidRDefault="005F12BE" w:rsidP="005F12B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3D5281D8" w14:textId="77246153" w:rsidR="005F12BE" w:rsidRDefault="005F12BE" w:rsidP="005F12B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 w:hint="eastAsia"/>
          <w:kern w:val="0"/>
          <w:sz w:val="20"/>
          <w:szCs w:val="20"/>
        </w:rPr>
        <w:t>L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egacy Long </w:t>
      </w:r>
      <w:r w:rsidR="003826D3">
        <w:rPr>
          <w:rFonts w:ascii="Times New Roman" w:eastAsia="宋体" w:hAnsi="Times New Roman" w:cs="Times New Roman"/>
          <w:kern w:val="0"/>
          <w:sz w:val="20"/>
          <w:szCs w:val="20"/>
        </w:rPr>
        <w:t xml:space="preserve">(Truncated) 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BSR format has a variable size and consists of 8 </w:t>
      </w:r>
      <w:bookmarkStart w:id="2" w:name="OLE_LINK5"/>
      <w:bookmarkStart w:id="3" w:name="OLE_LINK6"/>
      <w:proofErr w:type="spellStart"/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>LCG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i</w:t>
      </w:r>
      <w:bookmarkEnd w:id="2"/>
      <w:bookmarkEnd w:id="3"/>
      <w:proofErr w:type="spellEnd"/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8 LCGs respectively in the beginning of the MAC CE, and further includes the Buffer Size field(s) following the </w:t>
      </w:r>
      <w:proofErr w:type="spellStart"/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>LCG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i</w:t>
      </w:r>
      <w:proofErr w:type="spellEnd"/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</w:p>
    <w:p w14:paraId="4CA9D47C" w14:textId="778D2799" w:rsidR="00201BBE" w:rsidRDefault="005F12BE" w:rsidP="0029603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>Along with the extension of LCG size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256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>,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a</w:t>
      </w:r>
      <w:r w:rsidR="00201BBE">
        <w:rPr>
          <w:rFonts w:ascii="Times New Roman" w:eastAsia="宋体" w:hAnsi="Times New Roman" w:cs="Times New Roman"/>
          <w:kern w:val="0"/>
          <w:sz w:val="20"/>
          <w:szCs w:val="20"/>
        </w:rPr>
        <w:t xml:space="preserve">s for the Long </w:t>
      </w:r>
      <w:bookmarkStart w:id="4" w:name="_Hlk85631309"/>
      <w:r w:rsidR="00201BBE">
        <w:rPr>
          <w:rFonts w:ascii="Times New Roman" w:eastAsia="宋体" w:hAnsi="Times New Roman" w:cs="Times New Roman"/>
          <w:kern w:val="0"/>
          <w:sz w:val="20"/>
          <w:szCs w:val="20"/>
        </w:rPr>
        <w:t>(Truncated)</w:t>
      </w:r>
      <w:bookmarkEnd w:id="4"/>
      <w:r w:rsidR="00201BBE">
        <w:rPr>
          <w:rFonts w:ascii="Times New Roman" w:eastAsia="宋体" w:hAnsi="Times New Roman" w:cs="Times New Roman"/>
          <w:kern w:val="0"/>
          <w:sz w:val="20"/>
          <w:szCs w:val="20"/>
        </w:rPr>
        <w:t xml:space="preserve"> BSR format, the simplest way to design the BSR format is just to enumerate all 256 LCGs in the beginning of </w:t>
      </w:r>
      <w:r w:rsidR="001A5FEB">
        <w:rPr>
          <w:rFonts w:ascii="Times New Roman" w:eastAsia="宋体" w:hAnsi="Times New Roman" w:cs="Times New Roman"/>
          <w:kern w:val="0"/>
          <w:sz w:val="20"/>
          <w:szCs w:val="20"/>
        </w:rPr>
        <w:t xml:space="preserve">Long </w:t>
      </w:r>
      <w:r w:rsidR="003826D3">
        <w:rPr>
          <w:rFonts w:ascii="Times New Roman" w:eastAsia="宋体" w:hAnsi="Times New Roman" w:cs="Times New Roman"/>
          <w:kern w:val="0"/>
          <w:sz w:val="20"/>
          <w:szCs w:val="20"/>
        </w:rPr>
        <w:t xml:space="preserve">(Truncated) </w:t>
      </w:r>
      <w:r w:rsidR="00201BBE">
        <w:rPr>
          <w:rFonts w:ascii="Times New Roman" w:eastAsia="宋体" w:hAnsi="Times New Roman" w:cs="Times New Roman"/>
          <w:kern w:val="0"/>
          <w:sz w:val="20"/>
          <w:szCs w:val="20"/>
        </w:rPr>
        <w:t xml:space="preserve">BSR MAC CE as shown in Figure 1. However, it always needs to occupy 32 bytes for 256 LCGs although only a few LCGs have data </w:t>
      </w:r>
      <w:r w:rsidR="008E1226">
        <w:rPr>
          <w:rFonts w:ascii="Times New Roman" w:eastAsia="宋体" w:hAnsi="Times New Roman" w:cs="Times New Roman"/>
          <w:kern w:val="0"/>
          <w:sz w:val="20"/>
          <w:szCs w:val="20"/>
        </w:rPr>
        <w:t xml:space="preserve">to be reported, which may introduce too much overhead. </w:t>
      </w:r>
    </w:p>
    <w:p w14:paraId="013B24B5" w14:textId="0A2E1481" w:rsidR="008E1226" w:rsidRPr="008E1226" w:rsidRDefault="008E1226" w:rsidP="008E1226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8E122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Observation 1: Enumerate all 256 LCGs in the beginning of Long</w:t>
      </w:r>
      <w:r w:rsidR="003826D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3826D3" w:rsidRPr="003826D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(Truncated)</w:t>
      </w:r>
      <w:r w:rsidRPr="008E122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BSR MAC CE may introduce too much overhead. </w:t>
      </w:r>
    </w:p>
    <w:p w14:paraId="3F32217A" w14:textId="26FDEA59" w:rsidR="008E1226" w:rsidRDefault="008E1226" w:rsidP="0029603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For the IAB nodes belonging to different </w:t>
      </w:r>
      <w:r w:rsidRPr="008E1226">
        <w:rPr>
          <w:rFonts w:ascii="Times New Roman" w:eastAsia="宋体" w:hAnsi="Times New Roman" w:cs="Times New Roman"/>
          <w:kern w:val="0"/>
          <w:sz w:val="20"/>
          <w:szCs w:val="20"/>
        </w:rPr>
        <w:t>hierarch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ies in the whole topology, different amount</w:t>
      </w:r>
      <w:r w:rsidR="00F6624F">
        <w:rPr>
          <w:rFonts w:ascii="Times New Roman" w:eastAsia="宋体" w:hAnsi="Times New Roman" w:cs="Times New Roman"/>
          <w:kern w:val="0"/>
          <w:sz w:val="20"/>
          <w:szCs w:val="20"/>
        </w:rPr>
        <w:t xml:space="preserve"> of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LCHs may be need</w:t>
      </w:r>
      <w:r w:rsidR="00F6624F">
        <w:rPr>
          <w:rFonts w:ascii="Times New Roman" w:eastAsia="宋体" w:hAnsi="Times New Roman" w:cs="Times New Roman"/>
          <w:kern w:val="0"/>
          <w:sz w:val="20"/>
          <w:szCs w:val="20"/>
        </w:rPr>
        <w:t>ed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these IAB nodes. For example, an IAB node closed to IAB-donor needs more LCHs than the IAB node far </w:t>
      </w:r>
      <w:r w:rsidR="003826D3"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way from the IAB-donor. Similarly, t</w:t>
      </w:r>
      <w:r w:rsidRPr="008E1226">
        <w:rPr>
          <w:rFonts w:ascii="Times New Roman" w:eastAsia="宋体" w:hAnsi="Times New Roman" w:cs="Times New Roman"/>
          <w:kern w:val="0"/>
          <w:sz w:val="20"/>
          <w:szCs w:val="20"/>
        </w:rPr>
        <w:t>he number of LCGs configured for each IAB node may be different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based on the </w:t>
      </w:r>
      <w:r w:rsidR="00CE0F47" w:rsidRPr="008E1226">
        <w:rPr>
          <w:rFonts w:ascii="Times New Roman" w:eastAsia="宋体" w:hAnsi="Times New Roman" w:cs="Times New Roman"/>
          <w:kern w:val="0"/>
          <w:sz w:val="20"/>
          <w:szCs w:val="20"/>
        </w:rPr>
        <w:t>hierarch</w:t>
      </w:r>
      <w:r w:rsidR="00CE0F47">
        <w:rPr>
          <w:rFonts w:ascii="Times New Roman" w:eastAsia="宋体" w:hAnsi="Times New Roman" w:cs="Times New Roman"/>
          <w:kern w:val="0"/>
          <w:sz w:val="20"/>
          <w:szCs w:val="20"/>
        </w:rPr>
        <w:t xml:space="preserve">y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of IAB node in the whole topology.</w:t>
      </w:r>
    </w:p>
    <w:p w14:paraId="4C44E5EE" w14:textId="7B800593" w:rsidR="008E1226" w:rsidRPr="005F12BE" w:rsidRDefault="008E1226" w:rsidP="0029603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F12B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lastRenderedPageBreak/>
        <w:t>Observation 2: The number of LCGs configured for each IAB node may be different</w:t>
      </w:r>
      <w:r w:rsidR="00CE0F47" w:rsidRPr="005F12B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based on the hierarchy of IAB node in the whole topology</w:t>
      </w:r>
      <w:r w:rsidRPr="005F12B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.</w:t>
      </w:r>
    </w:p>
    <w:p w14:paraId="5F94146D" w14:textId="77777777" w:rsidR="00201BBE" w:rsidRPr="00BE12F3" w:rsidRDefault="00201BBE" w:rsidP="005F12BE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sz w:val="20"/>
          <w:szCs w:val="20"/>
        </w:rPr>
      </w:pPr>
      <w:r>
        <w:object w:dxaOrig="5780" w:dyaOrig="5491" w14:anchorId="3062F6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9pt;height:274.5pt" o:ole="">
            <v:imagedata r:id="rId8" o:title=""/>
          </v:shape>
          <o:OLEObject Type="Embed" ProgID="Visio.Drawing.15" ShapeID="_x0000_i1025" DrawAspect="Content" ObjectID="_1696400234" r:id="rId9"/>
        </w:object>
      </w:r>
    </w:p>
    <w:p w14:paraId="4EE08438" w14:textId="274F3B03" w:rsidR="00201BBE" w:rsidRPr="00BE12F3" w:rsidRDefault="00201BBE" w:rsidP="00201BBE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igure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1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An example for Long (Truncated) BSR format</w:t>
      </w:r>
    </w:p>
    <w:p w14:paraId="6ECFB4FA" w14:textId="7962C39F" w:rsidR="001A5FEB" w:rsidRDefault="00BC3408" w:rsidP="0029603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or an IAB node, the number of </w:t>
      </w:r>
      <w:r w:rsidR="003826D3">
        <w:rPr>
          <w:rFonts w:ascii="Times New Roman" w:eastAsia="宋体" w:hAnsi="Times New Roman" w:cs="Times New Roman"/>
          <w:kern w:val="0"/>
          <w:sz w:val="20"/>
          <w:szCs w:val="20"/>
        </w:rPr>
        <w:t xml:space="preserve">configured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LCG is</w:t>
      </w:r>
      <w:r w:rsidR="00644E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specific</w:t>
      </w:r>
      <w:r w:rsidR="00644E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value based on the </w:t>
      </w:r>
      <w:r w:rsidR="00644E1A" w:rsidRPr="00644E1A">
        <w:rPr>
          <w:rFonts w:ascii="Times New Roman" w:eastAsia="宋体" w:hAnsi="Times New Roman" w:cs="Times New Roman"/>
          <w:kern w:val="0"/>
          <w:sz w:val="20"/>
          <w:szCs w:val="20"/>
        </w:rPr>
        <w:t>LogicalChannelConfig</w:t>
      </w:r>
      <w:r w:rsidR="00644E1A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RRC. And for the LCG numbered with a larger index, it will be not configured to be associated with any LCH. </w:t>
      </w:r>
      <w:r w:rsidR="001A5FEB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Then, it is meaningless to enumerate the larger index LCG in the Long </w:t>
      </w:r>
      <w:r w:rsidR="003826D3">
        <w:rPr>
          <w:rFonts w:ascii="Times New Roman" w:eastAsia="宋体" w:hAnsi="Times New Roman" w:cs="Times New Roman"/>
          <w:kern w:val="0"/>
          <w:sz w:val="20"/>
          <w:szCs w:val="20"/>
        </w:rPr>
        <w:t xml:space="preserve">(Truncated) </w:t>
      </w:r>
      <w:r w:rsidR="001A5FEB">
        <w:rPr>
          <w:rFonts w:ascii="Times New Roman" w:eastAsia="宋体" w:hAnsi="Times New Roman" w:cs="Times New Roman"/>
          <w:kern w:val="0"/>
          <w:sz w:val="20"/>
          <w:szCs w:val="20"/>
        </w:rPr>
        <w:t xml:space="preserve">BSR MAC CE for this IAB node. </w:t>
      </w:r>
    </w:p>
    <w:p w14:paraId="35653717" w14:textId="5CF7A844" w:rsidR="00201BBE" w:rsidRPr="00201BBE" w:rsidRDefault="001A5FEB" w:rsidP="00296038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Alternatively, </w:t>
      </w:r>
      <w:r w:rsidR="00D62067">
        <w:rPr>
          <w:rFonts w:ascii="Times New Roman" w:eastAsia="宋体" w:hAnsi="Times New Roman" w:cs="Times New Roman"/>
          <w:kern w:val="0"/>
          <w:sz w:val="20"/>
          <w:szCs w:val="20"/>
        </w:rPr>
        <w:t xml:space="preserve">we can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only enumerate some LCG</w:t>
      </w:r>
      <w:r w:rsidRPr="001A5FEB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i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s which have been configured to be associated with LCHs in the Long </w:t>
      </w:r>
      <w:r w:rsidR="003826D3">
        <w:rPr>
          <w:rFonts w:ascii="Times New Roman" w:eastAsia="宋体" w:hAnsi="Times New Roman" w:cs="Times New Roman"/>
          <w:kern w:val="0"/>
          <w:sz w:val="20"/>
          <w:szCs w:val="20"/>
        </w:rPr>
        <w:t xml:space="preserve">(Truncated)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BSR MAC CE</w:t>
      </w:r>
      <w:r w:rsidR="00D62067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3F476B">
        <w:rPr>
          <w:rFonts w:ascii="Times New Roman" w:eastAsia="宋体" w:hAnsi="Times New Roman" w:cs="Times New Roman"/>
          <w:kern w:val="0"/>
          <w:sz w:val="20"/>
          <w:szCs w:val="20"/>
        </w:rPr>
        <w:t xml:space="preserve">As shown in Figure 2, in the beginning of the Long </w:t>
      </w:r>
      <w:r w:rsidR="003826D3">
        <w:rPr>
          <w:rFonts w:ascii="Times New Roman" w:eastAsia="宋体" w:hAnsi="Times New Roman" w:cs="Times New Roman"/>
          <w:kern w:val="0"/>
          <w:sz w:val="20"/>
          <w:szCs w:val="20"/>
        </w:rPr>
        <w:t xml:space="preserve">(Truncated) </w:t>
      </w:r>
      <w:r w:rsidR="003F476B">
        <w:rPr>
          <w:rFonts w:ascii="Times New Roman" w:eastAsia="宋体" w:hAnsi="Times New Roman" w:cs="Times New Roman"/>
          <w:kern w:val="0"/>
          <w:sz w:val="20"/>
          <w:szCs w:val="20"/>
        </w:rPr>
        <w:t xml:space="preserve">BSR MAC CE, k </w:t>
      </w:r>
      <w:proofErr w:type="spellStart"/>
      <w:r w:rsidR="003F476B">
        <w:rPr>
          <w:rFonts w:ascii="Times New Roman" w:eastAsia="宋体" w:hAnsi="Times New Roman" w:cs="Times New Roman"/>
          <w:kern w:val="0"/>
          <w:sz w:val="20"/>
          <w:szCs w:val="20"/>
        </w:rPr>
        <w:t>LCG</w:t>
      </w:r>
      <w:r w:rsidR="003F476B" w:rsidRPr="003F476B">
        <w:rPr>
          <w:rFonts w:ascii="Times New Roman" w:eastAsia="宋体" w:hAnsi="Times New Roman" w:cs="Times New Roman"/>
          <w:kern w:val="0"/>
          <w:sz w:val="20"/>
          <w:szCs w:val="20"/>
          <w:vertAlign w:val="subscript"/>
        </w:rPr>
        <w:t>i</w:t>
      </w:r>
      <w:r w:rsidR="003F476B">
        <w:rPr>
          <w:rFonts w:ascii="Times New Roman" w:eastAsia="宋体" w:hAnsi="Times New Roman" w:cs="Times New Roman"/>
          <w:kern w:val="0"/>
          <w:sz w:val="20"/>
          <w:szCs w:val="20"/>
        </w:rPr>
        <w:t>s</w:t>
      </w:r>
      <w:proofErr w:type="spellEnd"/>
      <w:r w:rsidR="003F476B">
        <w:rPr>
          <w:rFonts w:ascii="Times New Roman" w:eastAsia="宋体" w:hAnsi="Times New Roman" w:cs="Times New Roman"/>
          <w:kern w:val="0"/>
          <w:sz w:val="20"/>
          <w:szCs w:val="20"/>
        </w:rPr>
        <w:t xml:space="preserve"> are enumerated and each of them is used to </w:t>
      </w:r>
      <w:r w:rsidR="003F476B" w:rsidRPr="003F476B">
        <w:rPr>
          <w:rFonts w:ascii="Times New Roman" w:eastAsia="宋体" w:hAnsi="Times New Roman" w:cs="Times New Roman"/>
          <w:kern w:val="0"/>
          <w:sz w:val="20"/>
          <w:szCs w:val="20"/>
        </w:rPr>
        <w:t xml:space="preserve">indicate the presence of the Buffer Size field for the </w:t>
      </w:r>
      <w:r w:rsidR="003F476B">
        <w:rPr>
          <w:rFonts w:ascii="Times New Roman" w:eastAsia="宋体" w:hAnsi="Times New Roman" w:cs="Times New Roman"/>
          <w:kern w:val="0"/>
          <w:sz w:val="20"/>
          <w:szCs w:val="20"/>
        </w:rPr>
        <w:t xml:space="preserve">associated configured </w:t>
      </w:r>
      <w:r w:rsidR="003F476B" w:rsidRPr="003F476B">
        <w:rPr>
          <w:rFonts w:ascii="Times New Roman" w:eastAsia="宋体" w:hAnsi="Times New Roman" w:cs="Times New Roman"/>
          <w:kern w:val="0"/>
          <w:sz w:val="20"/>
          <w:szCs w:val="20"/>
        </w:rPr>
        <w:t>logical channel group</w:t>
      </w:r>
      <w:r w:rsidR="003F476B">
        <w:rPr>
          <w:rFonts w:ascii="Times New Roman" w:eastAsia="宋体" w:hAnsi="Times New Roman" w:cs="Times New Roman"/>
          <w:kern w:val="0"/>
          <w:sz w:val="20"/>
          <w:szCs w:val="20"/>
        </w:rPr>
        <w:t>. Optional, some reserve bits may be needed to guarantee the byte alignment.</w:t>
      </w:r>
      <w:r w:rsidR="003F476B">
        <w:rPr>
          <w:rFonts w:ascii="Times New Roman" w:eastAsia="宋体" w:hAnsi="Times New Roman" w:cs="Times New Roman" w:hint="eastAsia"/>
          <w:kern w:val="0"/>
          <w:sz w:val="20"/>
          <w:szCs w:val="20"/>
        </w:rPr>
        <w:t xml:space="preserve"> </w:t>
      </w:r>
      <w:r w:rsidR="00D62067">
        <w:rPr>
          <w:rFonts w:ascii="Times New Roman" w:eastAsia="宋体" w:hAnsi="Times New Roman" w:cs="Times New Roman"/>
          <w:kern w:val="0"/>
          <w:sz w:val="20"/>
          <w:szCs w:val="20"/>
        </w:rPr>
        <w:t>In this way, meaningless overhead will be saved</w:t>
      </w:r>
      <w:r w:rsidR="00C12655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</w:t>
      </w:r>
      <w:r w:rsidR="00587A04">
        <w:rPr>
          <w:rFonts w:ascii="Times New Roman" w:eastAsia="宋体" w:hAnsi="Times New Roman" w:cs="Times New Roman"/>
          <w:kern w:val="0"/>
          <w:sz w:val="20"/>
          <w:szCs w:val="20"/>
        </w:rPr>
        <w:t>a</w:t>
      </w:r>
      <w:r w:rsidR="00C12655">
        <w:rPr>
          <w:rFonts w:ascii="Times New Roman" w:eastAsia="宋体" w:hAnsi="Times New Roman" w:cs="Times New Roman"/>
          <w:kern w:val="0"/>
          <w:sz w:val="20"/>
          <w:szCs w:val="20"/>
        </w:rPr>
        <w:t>n the BSR MAC CE in Figure 1</w:t>
      </w:r>
      <w:r w:rsidR="003F476B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2CB77F23" w14:textId="2EED43FF" w:rsidR="002334C4" w:rsidRDefault="00AA3756" w:rsidP="005F12BE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</w:pPr>
      <w:r>
        <w:object w:dxaOrig="6541" w:dyaOrig="5000" w14:anchorId="7B56B27E">
          <v:shape id="_x0000_i1026" type="#_x0000_t75" style="width:315pt;height:241pt" o:ole="">
            <v:imagedata r:id="rId10" o:title=""/>
          </v:shape>
          <o:OLEObject Type="Embed" ProgID="Visio.Drawing.15" ShapeID="_x0000_i1026" DrawAspect="Content" ObjectID="_1696400235" r:id="rId11"/>
        </w:object>
      </w:r>
    </w:p>
    <w:p w14:paraId="0CC4936C" w14:textId="452DB377" w:rsidR="003F476B" w:rsidRPr="00BE12F3" w:rsidRDefault="003F476B" w:rsidP="003F476B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igure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2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An</w:t>
      </w:r>
      <w:r w:rsidR="00595EA0">
        <w:rPr>
          <w:rFonts w:ascii="Times New Roman" w:eastAsia="宋体" w:hAnsi="Times New Roman" w:cs="Times New Roman"/>
          <w:kern w:val="0"/>
          <w:sz w:val="20"/>
          <w:szCs w:val="20"/>
        </w:rPr>
        <w:t>other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 xml:space="preserve"> example for Long (Truncated) BSR format</w:t>
      </w:r>
    </w:p>
    <w:p w14:paraId="5F564C93" w14:textId="77777777" w:rsidR="003F476B" w:rsidRPr="003F476B" w:rsidRDefault="003F476B" w:rsidP="005F12BE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</w:p>
    <w:p w14:paraId="6440F84D" w14:textId="23FF1C23" w:rsidR="002334C4" w:rsidRPr="00C12655" w:rsidRDefault="002334C4" w:rsidP="002334C4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lastRenderedPageBreak/>
        <w:t>Proposal 1: Only to enumerate the LCG</w:t>
      </w:r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  <w:vertAlign w:val="subscript"/>
        </w:rPr>
        <w:t>i</w:t>
      </w:r>
      <w:r w:rsid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s,</w:t>
      </w:r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C12655"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which have been configured to be associated with LCHs in </w:t>
      </w:r>
      <w:proofErr w:type="spellStart"/>
      <w:r w:rsidR="00C12655"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LogicalChannelConfig</w:t>
      </w:r>
      <w:proofErr w:type="spellEnd"/>
      <w:r w:rsid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,</w:t>
      </w:r>
      <w:r w:rsidR="00C12655"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 the Long </w:t>
      </w:r>
      <w:r w:rsidR="003826D3" w:rsidRPr="003826D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(Truncated)</w:t>
      </w:r>
      <w:r w:rsidR="003826D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="00C12655"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BSR MAC CE</w:t>
      </w:r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. </w:t>
      </w:r>
    </w:p>
    <w:p w14:paraId="71EA587E" w14:textId="0CE71F9E" w:rsidR="002334C4" w:rsidRPr="00C12655" w:rsidRDefault="002334C4" w:rsidP="002334C4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2: New Long (Truncated) BSR format has a variable size and consists of variable number of </w:t>
      </w:r>
      <w:proofErr w:type="spellStart"/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LCG</w:t>
      </w:r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  <w:vertAlign w:val="subscript"/>
        </w:rPr>
        <w:t>i</w:t>
      </w:r>
      <w:proofErr w:type="spellEnd"/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fields which </w:t>
      </w:r>
      <w:r w:rsidR="00DF42EB"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deter</w:t>
      </w:r>
      <w:r w:rsidR="00DF42EB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min</w:t>
      </w:r>
      <w:r w:rsidR="00DF42EB"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ed </w:t>
      </w:r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by the </w:t>
      </w:r>
      <w:proofErr w:type="spellStart"/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LogicalChannelConfig</w:t>
      </w:r>
      <w:proofErr w:type="spellEnd"/>
      <w:r w:rsid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, some reserve bits (optional)</w:t>
      </w:r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Buffer Size fields.</w:t>
      </w:r>
    </w:p>
    <w:p w14:paraId="04B5B11D" w14:textId="5BABC2FB" w:rsidR="001A34F9" w:rsidRPr="00BE12F3" w:rsidRDefault="0094045F" w:rsidP="00A675C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 w:hint="eastAsia"/>
          <w:kern w:val="0"/>
          <w:sz w:val="20"/>
          <w:szCs w:val="20"/>
        </w:rPr>
        <w:t>I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n addition, </w:t>
      </w:r>
      <w:r w:rsidR="00D93EA0" w:rsidRPr="00BE12F3">
        <w:rPr>
          <w:rFonts w:ascii="Times New Roman" w:eastAsia="宋体" w:hAnsi="Times New Roman" w:cs="Times New Roman"/>
          <w:kern w:val="0"/>
          <w:sz w:val="20"/>
          <w:szCs w:val="20"/>
        </w:rPr>
        <w:t>a R17</w:t>
      </w:r>
      <w:r w:rsidR="00A00FC5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IAB node </w:t>
      </w:r>
      <w:r w:rsidR="00D93EA0" w:rsidRPr="00BE12F3">
        <w:rPr>
          <w:rFonts w:ascii="Times New Roman" w:eastAsia="宋体" w:hAnsi="Times New Roman" w:cs="Times New Roman"/>
          <w:kern w:val="0"/>
          <w:sz w:val="20"/>
          <w:szCs w:val="20"/>
        </w:rPr>
        <w:t>may</w:t>
      </w:r>
      <w:r w:rsidR="00A00FC5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be configured with legacy LCG </w:t>
      </w:r>
      <w:r w:rsidR="00B755C4" w:rsidRPr="00BE12F3">
        <w:rPr>
          <w:rFonts w:ascii="Times New Roman" w:eastAsia="宋体" w:hAnsi="Times New Roman" w:cs="Times New Roman"/>
          <w:kern w:val="0"/>
          <w:sz w:val="20"/>
          <w:szCs w:val="20"/>
        </w:rPr>
        <w:t>size</w:t>
      </w:r>
      <w:r w:rsidR="00A00FC5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or the extended LCG </w:t>
      </w:r>
      <w:r w:rsidR="00B755C4" w:rsidRPr="00BE12F3">
        <w:rPr>
          <w:rFonts w:ascii="Times New Roman" w:eastAsia="宋体" w:hAnsi="Times New Roman" w:cs="Times New Roman"/>
          <w:kern w:val="0"/>
          <w:sz w:val="20"/>
          <w:szCs w:val="20"/>
        </w:rPr>
        <w:t>size.</w:t>
      </w:r>
      <w:r w:rsidR="00EC5ADF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D93EA0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Therefore, the IAB node need to support both legacy BSR MAC CE and the new BSR MAC CE. </w:t>
      </w:r>
      <w:r w:rsidR="00DE6548" w:rsidRPr="00BE12F3">
        <w:rPr>
          <w:rFonts w:ascii="Times New Roman" w:eastAsia="宋体" w:hAnsi="Times New Roman" w:cs="Times New Roman"/>
          <w:kern w:val="0"/>
          <w:sz w:val="20"/>
          <w:szCs w:val="20"/>
        </w:rPr>
        <w:t>Once the IAB node is configured with the legacy LCG size, legacy BSR MAC CE is preferred for the overhead reduction.</w:t>
      </w:r>
    </w:p>
    <w:p w14:paraId="4B18E591" w14:textId="487AFE03" w:rsidR="00B755C4" w:rsidRDefault="00DE6548" w:rsidP="00A675C7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 w:rsid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R17 IAB node need</w:t>
      </w:r>
      <w:r w:rsidR="001D217B"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to support both legacy BSR MAC CE and the new BSR MAC CE.</w:t>
      </w:r>
    </w:p>
    <w:p w14:paraId="504076B4" w14:textId="254531F3" w:rsidR="002334C4" w:rsidRPr="00BE12F3" w:rsidRDefault="002334C4" w:rsidP="002334C4">
      <w:pPr>
        <w:widowControl/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</w:pP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  <w:u w:val="single"/>
        </w:rPr>
        <w:t>UL HbH flow control for IAB</w:t>
      </w:r>
    </w:p>
    <w:p w14:paraId="5B34E2CD" w14:textId="48385CE2" w:rsidR="00B1244C" w:rsidRDefault="00595EA0" w:rsidP="00595EA0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</w:rPr>
        <w:t>A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s shown in Figure 3, f</w:t>
      </w:r>
      <w:r w:rsidRPr="00595EA0">
        <w:rPr>
          <w:rFonts w:ascii="Times New Roman" w:eastAsia="宋体" w:hAnsi="Times New Roman" w:cs="Times New Roman"/>
          <w:kern w:val="0"/>
          <w:sz w:val="20"/>
          <w:szCs w:val="20"/>
        </w:rPr>
        <w:t xml:space="preserve">or the scenario of a parent IAB node (IAB node 2) with two grandparent nodes (IAB node 3 and 4). If only one of the grandparents BH links suffer congestion, </w:t>
      </w:r>
      <w:r w:rsidR="00B1244C">
        <w:rPr>
          <w:rFonts w:ascii="Times New Roman" w:eastAsia="宋体" w:hAnsi="Times New Roman" w:cs="Times New Roman"/>
          <w:kern w:val="0"/>
          <w:sz w:val="20"/>
          <w:szCs w:val="20"/>
        </w:rPr>
        <w:t>based on the conclusion in R16,</w:t>
      </w:r>
      <w:r w:rsidRPr="00595EA0">
        <w:rPr>
          <w:rFonts w:ascii="Times New Roman" w:eastAsia="宋体" w:hAnsi="Times New Roman" w:cs="Times New Roman"/>
          <w:kern w:val="0"/>
          <w:sz w:val="20"/>
          <w:szCs w:val="20"/>
        </w:rPr>
        <w:t xml:space="preserve"> the parent IAB node 2</w:t>
      </w:r>
      <w:r w:rsidR="00B1244C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="0079729D">
        <w:rPr>
          <w:rFonts w:ascii="Times New Roman" w:eastAsia="宋体" w:hAnsi="Times New Roman" w:cs="Times New Roman"/>
          <w:kern w:val="0"/>
          <w:sz w:val="20"/>
          <w:szCs w:val="20"/>
        </w:rPr>
        <w:t>may</w:t>
      </w:r>
      <w:r w:rsidR="00B1244C">
        <w:rPr>
          <w:rFonts w:ascii="Times New Roman" w:eastAsia="宋体" w:hAnsi="Times New Roman" w:cs="Times New Roman"/>
          <w:kern w:val="0"/>
          <w:sz w:val="20"/>
          <w:szCs w:val="20"/>
        </w:rPr>
        <w:t xml:space="preserve"> </w:t>
      </w:r>
      <w:r w:rsidRPr="00595EA0">
        <w:rPr>
          <w:rFonts w:ascii="Times New Roman" w:eastAsia="宋体" w:hAnsi="Times New Roman" w:cs="Times New Roman"/>
          <w:kern w:val="0"/>
          <w:sz w:val="20"/>
          <w:szCs w:val="20"/>
        </w:rPr>
        <w:t>stop scheduling UL</w:t>
      </w:r>
      <w:r w:rsidR="00B1244C">
        <w:rPr>
          <w:rFonts w:ascii="Times New Roman" w:eastAsia="宋体" w:hAnsi="Times New Roman" w:cs="Times New Roman"/>
          <w:kern w:val="0"/>
          <w:sz w:val="20"/>
          <w:szCs w:val="20"/>
        </w:rPr>
        <w:t xml:space="preserve"> transmission</w:t>
      </w:r>
      <w:r w:rsidRPr="00595EA0">
        <w:rPr>
          <w:rFonts w:ascii="Times New Roman" w:eastAsia="宋体" w:hAnsi="Times New Roman" w:cs="Times New Roman"/>
          <w:kern w:val="0"/>
          <w:sz w:val="20"/>
          <w:szCs w:val="20"/>
        </w:rPr>
        <w:t xml:space="preserve"> to the child IAB node 1</w:t>
      </w:r>
      <w:r w:rsidR="00B1244C">
        <w:rPr>
          <w:rFonts w:ascii="Times New Roman" w:eastAsia="宋体" w:hAnsi="Times New Roman" w:cs="Times New Roman"/>
          <w:kern w:val="0"/>
          <w:sz w:val="20"/>
          <w:szCs w:val="20"/>
        </w:rPr>
        <w:t xml:space="preserve"> in order to alleviate the congestion at IAB node2</w:t>
      </w:r>
      <w:r w:rsidRPr="00595EA0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 w:rsidR="00B1244C">
        <w:rPr>
          <w:rFonts w:ascii="Times New Roman" w:eastAsia="宋体" w:hAnsi="Times New Roman" w:cs="Times New Roman"/>
          <w:kern w:val="0"/>
          <w:sz w:val="20"/>
          <w:szCs w:val="20"/>
        </w:rPr>
        <w:t>However, the UL routing path between IAB node 2 and IAB node</w:t>
      </w:r>
      <w:r w:rsidR="0079729D">
        <w:rPr>
          <w:rFonts w:ascii="Times New Roman" w:eastAsia="宋体" w:hAnsi="Times New Roman" w:cs="Times New Roman"/>
          <w:kern w:val="0"/>
          <w:sz w:val="20"/>
          <w:szCs w:val="20"/>
        </w:rPr>
        <w:t xml:space="preserve"> 3</w:t>
      </w:r>
      <w:r w:rsidR="00B1244C">
        <w:rPr>
          <w:rFonts w:ascii="Times New Roman" w:eastAsia="宋体" w:hAnsi="Times New Roman" w:cs="Times New Roman"/>
          <w:kern w:val="0"/>
          <w:sz w:val="20"/>
          <w:szCs w:val="20"/>
        </w:rPr>
        <w:t xml:space="preserve"> is still available, </w:t>
      </w:r>
      <w:r w:rsidR="0079729D">
        <w:rPr>
          <w:rFonts w:ascii="Times New Roman" w:eastAsia="宋体" w:hAnsi="Times New Roman" w:cs="Times New Roman"/>
          <w:kern w:val="0"/>
          <w:sz w:val="20"/>
          <w:szCs w:val="20"/>
        </w:rPr>
        <w:t xml:space="preserve">stop UL transmission between IAB node 1 and IAB node2 </w:t>
      </w:r>
      <w:r w:rsidR="0079729D" w:rsidRPr="00595EA0">
        <w:rPr>
          <w:rFonts w:ascii="Times New Roman" w:eastAsia="宋体" w:hAnsi="Times New Roman" w:cs="Times New Roman"/>
          <w:kern w:val="0"/>
          <w:sz w:val="20"/>
          <w:szCs w:val="20"/>
        </w:rPr>
        <w:t xml:space="preserve">will have </w:t>
      </w:r>
      <w:r w:rsidR="0079729D">
        <w:rPr>
          <w:rFonts w:ascii="Times New Roman" w:eastAsia="宋体" w:hAnsi="Times New Roman" w:cs="Times New Roman"/>
          <w:kern w:val="0"/>
          <w:sz w:val="20"/>
          <w:szCs w:val="20"/>
        </w:rPr>
        <w:t xml:space="preserve">some </w:t>
      </w:r>
      <w:r w:rsidR="0079729D" w:rsidRPr="00595EA0">
        <w:rPr>
          <w:rFonts w:ascii="Times New Roman" w:eastAsia="宋体" w:hAnsi="Times New Roman" w:cs="Times New Roman"/>
          <w:kern w:val="0"/>
          <w:sz w:val="20"/>
          <w:szCs w:val="20"/>
        </w:rPr>
        <w:t xml:space="preserve">impacts on </w:t>
      </w:r>
      <w:r w:rsidR="0079729D">
        <w:rPr>
          <w:rFonts w:ascii="Times New Roman" w:eastAsia="宋体" w:hAnsi="Times New Roman" w:cs="Times New Roman"/>
          <w:kern w:val="0"/>
          <w:sz w:val="20"/>
          <w:szCs w:val="20"/>
        </w:rPr>
        <w:t>the</w:t>
      </w:r>
      <w:r w:rsidR="0079729D" w:rsidRPr="00595EA0">
        <w:rPr>
          <w:rFonts w:ascii="Times New Roman" w:eastAsia="宋体" w:hAnsi="Times New Roman" w:cs="Times New Roman"/>
          <w:kern w:val="0"/>
          <w:sz w:val="20"/>
          <w:szCs w:val="20"/>
        </w:rPr>
        <w:t xml:space="preserve"> available UL grandparent BH link</w:t>
      </w:r>
      <w:r w:rsidR="0079729D">
        <w:rPr>
          <w:rFonts w:ascii="Times New Roman" w:eastAsia="宋体" w:hAnsi="Times New Roman" w:cs="Times New Roman"/>
          <w:kern w:val="0"/>
          <w:sz w:val="20"/>
          <w:szCs w:val="20"/>
        </w:rPr>
        <w:t>.</w:t>
      </w:r>
    </w:p>
    <w:p w14:paraId="352C07D9" w14:textId="5635AF1A" w:rsidR="002334C4" w:rsidRDefault="00595EA0" w:rsidP="00595EA0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595EA0">
        <w:rPr>
          <w:rFonts w:ascii="Times New Roman" w:eastAsia="宋体" w:hAnsi="Times New Roman" w:cs="Times New Roman"/>
          <w:kern w:val="0"/>
          <w:sz w:val="20"/>
          <w:szCs w:val="20"/>
        </w:rPr>
        <w:t>Thus, the implementation method via scheduling is inadequate for above scenario and we need to introduce UL HbH flow control as a supplementation.</w:t>
      </w:r>
    </w:p>
    <w:p w14:paraId="648B57E7" w14:textId="431012FD" w:rsidR="00595EA0" w:rsidRPr="00595EA0" w:rsidRDefault="00595EA0" w:rsidP="00595EA0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2334C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Proposal 4: Support UL HbH flow control in R17.</w:t>
      </w:r>
    </w:p>
    <w:p w14:paraId="30271F19" w14:textId="7AECF3F8" w:rsidR="002334C4" w:rsidRDefault="00595EA0" w:rsidP="00595EA0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</w:pPr>
      <w:r>
        <w:rPr>
          <w:noProof/>
        </w:rPr>
        <w:object w:dxaOrig="6714" w:dyaOrig="3271" w14:anchorId="52DCD6A8">
          <v:shape id="Object 3" o:spid="_x0000_i1027" type="#_x0000_t75" style="width:260pt;height:126.5pt;mso-position-horizontal-relative:page;mso-position-vertical-relative:page" o:ole="">
            <v:imagedata r:id="rId12" o:title=""/>
          </v:shape>
          <o:OLEObject Type="Embed" ProgID="Visio.Drawing.15" ShapeID="Object 3" DrawAspect="Content" ObjectID="_1696400236" r:id="rId13"/>
        </w:object>
      </w:r>
    </w:p>
    <w:p w14:paraId="6F585891" w14:textId="03F3BD84" w:rsidR="00595EA0" w:rsidRPr="00595EA0" w:rsidRDefault="00595EA0" w:rsidP="00595EA0">
      <w:pPr>
        <w:widowControl/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 w:hint="eastAsia"/>
          <w:kern w:val="0"/>
          <w:sz w:val="20"/>
          <w:szCs w:val="20"/>
        </w:rPr>
        <w:t>F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igure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3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. </w:t>
      </w:r>
      <w:r>
        <w:rPr>
          <w:rFonts w:ascii="Times New Roman" w:eastAsia="宋体" w:hAnsi="Times New Roman" w:cs="Times New Roman"/>
          <w:kern w:val="0"/>
          <w:sz w:val="20"/>
          <w:szCs w:val="20"/>
        </w:rPr>
        <w:t>An example for UL HbH flow control</w:t>
      </w:r>
    </w:p>
    <w:p w14:paraId="7A1DA3AD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240" w:after="180"/>
        <w:ind w:left="432" w:hanging="432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宋体" w:hAnsi="Arial" w:cs="Times New Roman"/>
          <w:kern w:val="0"/>
          <w:sz w:val="36"/>
          <w:szCs w:val="36"/>
          <w:lang w:val="en-GB"/>
        </w:rPr>
        <w:t>Conclusion</w:t>
      </w:r>
    </w:p>
    <w:p w14:paraId="5E1D131E" w14:textId="3AEC77CB" w:rsidR="00AA3FAE" w:rsidRPr="00BE12F3" w:rsidRDefault="00AA3FAE" w:rsidP="00AA3FAE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/>
          <w:kern w:val="0"/>
          <w:sz w:val="20"/>
          <w:szCs w:val="20"/>
        </w:rPr>
        <w:t>Th</w:t>
      </w:r>
      <w:r w:rsidR="00F862F2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is contribution aims to </w:t>
      </w:r>
      <w:r w:rsidR="00A63D25" w:rsidRPr="00BE12F3">
        <w:rPr>
          <w:rFonts w:ascii="Times New Roman" w:eastAsia="宋体" w:hAnsi="Times New Roman" w:cs="Times New Roman"/>
          <w:kern w:val="0"/>
          <w:sz w:val="20"/>
          <w:szCs w:val="20"/>
        </w:rPr>
        <w:t>discuss the LCG size</w:t>
      </w:r>
      <w:r w:rsidR="000E5519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extension</w:t>
      </w:r>
      <w:r w:rsidR="00A63D25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and </w:t>
      </w:r>
      <w:r w:rsidR="00CC444F">
        <w:rPr>
          <w:rFonts w:ascii="Times New Roman" w:eastAsia="宋体" w:hAnsi="Times New Roman" w:cs="Times New Roman"/>
          <w:kern w:val="0"/>
          <w:sz w:val="20"/>
          <w:szCs w:val="20"/>
        </w:rPr>
        <w:t>congestion mitigation</w:t>
      </w:r>
      <w:r w:rsidR="00A63D25" w:rsidRPr="00BE12F3">
        <w:rPr>
          <w:rFonts w:ascii="Times New Roman" w:eastAsia="宋体" w:hAnsi="Times New Roman" w:cs="Times New Roman"/>
          <w:kern w:val="0"/>
          <w:sz w:val="20"/>
          <w:szCs w:val="20"/>
        </w:rPr>
        <w:t xml:space="preserve"> for IAB</w:t>
      </w:r>
      <w:r w:rsidR="00F862F2" w:rsidRPr="00BE12F3">
        <w:rPr>
          <w:rFonts w:ascii="Times New Roman" w:eastAsia="宋体" w:hAnsi="Times New Roman" w:cs="Times New Roman"/>
          <w:kern w:val="0"/>
          <w:sz w:val="20"/>
          <w:szCs w:val="20"/>
        </w:rPr>
        <w:t>. And following observations and proposals are concluded.</w:t>
      </w:r>
    </w:p>
    <w:p w14:paraId="0D4321E5" w14:textId="13540E6A" w:rsidR="00CC444F" w:rsidRPr="008E1226" w:rsidRDefault="00CC444F" w:rsidP="00CC444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8E122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Observation 1: Enumerate all 256 LCGs in the beginning of Long </w:t>
      </w:r>
      <w:r w:rsidR="003826D3" w:rsidRPr="003826D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(Truncated)</w:t>
      </w:r>
      <w:r w:rsidR="003826D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8E1226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BSR MAC CE may introduce too much overhead. </w:t>
      </w:r>
    </w:p>
    <w:p w14:paraId="63780D6E" w14:textId="5F63DB97" w:rsidR="00CC444F" w:rsidRPr="005F12BE" w:rsidRDefault="00CC444F" w:rsidP="00CC444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5F12BE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Observation 2: The number of LCGs configured for each IAB node may be different based on the hierarchy of IAB node in the whole topology.</w:t>
      </w:r>
    </w:p>
    <w:p w14:paraId="0FA81A7E" w14:textId="14EC0DF8" w:rsidR="00CC444F" w:rsidRPr="00C12655" w:rsidRDefault="00CC444F" w:rsidP="00CC444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Proposal 1: Only to enumerate the LCG</w:t>
      </w:r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  <w:vertAlign w:val="subscript"/>
        </w:rPr>
        <w:t>i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s,</w:t>
      </w:r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which have been configured to be associated with LCHs in </w:t>
      </w:r>
      <w:proofErr w:type="spellStart"/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LogicalChannelConfig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,</w:t>
      </w:r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in the Long </w:t>
      </w:r>
      <w:r w:rsidR="003826D3" w:rsidRPr="003826D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(Truncated)</w:t>
      </w:r>
      <w:r w:rsidR="003826D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BSR MAC CE. </w:t>
      </w:r>
    </w:p>
    <w:p w14:paraId="3F0D0BF8" w14:textId="3EE09BF7" w:rsidR="00CC444F" w:rsidRPr="00C12655" w:rsidRDefault="00CC444F" w:rsidP="00CC444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Proposal 2: New Long (Truncated) BSR format has a variable size and consists of variable number of </w:t>
      </w:r>
      <w:proofErr w:type="spellStart"/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LCG</w:t>
      </w:r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  <w:vertAlign w:val="subscript"/>
        </w:rPr>
        <w:t>i</w:t>
      </w:r>
      <w:proofErr w:type="spellEnd"/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fields which </w:t>
      </w:r>
      <w:r w:rsidR="003826D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determined</w:t>
      </w:r>
      <w:r w:rsidR="003826D3"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</w:t>
      </w:r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by the </w:t>
      </w:r>
      <w:proofErr w:type="spellStart"/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LogicalChannelConfig</w:t>
      </w:r>
      <w:proofErr w:type="spellEnd"/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, some reserve bits (optional)</w:t>
      </w:r>
      <w:r w:rsidRPr="00C12655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 and Buffer Size fields.</w:t>
      </w:r>
    </w:p>
    <w:p w14:paraId="72910BC6" w14:textId="77777777" w:rsidR="00CC444F" w:rsidRDefault="00CC444F" w:rsidP="00CC444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BE12F3">
        <w:rPr>
          <w:rFonts w:ascii="Times New Roman" w:eastAsia="宋体" w:hAnsi="Times New Roman" w:cs="Times New Roman" w:hint="eastAsia"/>
          <w:b/>
          <w:bCs/>
          <w:kern w:val="0"/>
          <w:sz w:val="20"/>
          <w:szCs w:val="20"/>
        </w:rPr>
        <w:t>P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 xml:space="preserve">roposal </w:t>
      </w:r>
      <w:r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3</w:t>
      </w:r>
      <w:r w:rsidRPr="00BE12F3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: R17 IAB node needs to support both legacy BSR MAC CE and the new BSR MAC CE.</w:t>
      </w:r>
    </w:p>
    <w:p w14:paraId="417D8D3C" w14:textId="77777777" w:rsidR="00CC444F" w:rsidRPr="002334C4" w:rsidRDefault="00CC444F" w:rsidP="00CC444F">
      <w:pPr>
        <w:widowControl/>
        <w:overflowPunct w:val="0"/>
        <w:autoSpaceDE w:val="0"/>
        <w:autoSpaceDN w:val="0"/>
        <w:adjustRightInd w:val="0"/>
        <w:spacing w:after="120"/>
        <w:textAlignment w:val="baseline"/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</w:pPr>
      <w:r w:rsidRPr="002334C4">
        <w:rPr>
          <w:rFonts w:ascii="Times New Roman" w:eastAsia="宋体" w:hAnsi="Times New Roman" w:cs="Times New Roman"/>
          <w:b/>
          <w:bCs/>
          <w:kern w:val="0"/>
          <w:sz w:val="20"/>
          <w:szCs w:val="20"/>
        </w:rPr>
        <w:t>Proposal 4: Support UL HbH flow control in R17.</w:t>
      </w:r>
    </w:p>
    <w:p w14:paraId="1C734CA1" w14:textId="77777777" w:rsidR="00AA3FAE" w:rsidRPr="00AA3FAE" w:rsidRDefault="00AA3FAE" w:rsidP="00AA3FAE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Dotum" w:hAnsi="Arial" w:cs="Times New Roman"/>
          <w:kern w:val="0"/>
          <w:sz w:val="36"/>
          <w:szCs w:val="36"/>
          <w:lang w:val="en-GB"/>
        </w:rPr>
      </w:pPr>
      <w:r w:rsidRPr="00AA3FAE">
        <w:rPr>
          <w:rFonts w:ascii="Arial" w:eastAsia="Dotum" w:hAnsi="Arial" w:cs="Times New Roman"/>
          <w:kern w:val="0"/>
          <w:sz w:val="36"/>
          <w:szCs w:val="36"/>
          <w:lang w:val="en-GB"/>
        </w:rPr>
        <w:t>Reference</w:t>
      </w:r>
    </w:p>
    <w:bookmarkEnd w:id="0"/>
    <w:bookmarkEnd w:id="1"/>
    <w:p w14:paraId="679AA3D1" w14:textId="632C740B" w:rsidR="00296038" w:rsidRDefault="0084197E" w:rsidP="000553F3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</w:pPr>
      <w:r w:rsidRPr="00BE12F3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>Chairman notes of RAN</w:t>
      </w:r>
      <w:r w:rsidR="00CB3AF7" w:rsidRPr="00BE12F3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>2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 xml:space="preserve"> 1</w:t>
      </w:r>
      <w:r w:rsidR="00CB3AF7" w:rsidRPr="00BE12F3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>13</w:t>
      </w:r>
      <w:r w:rsidR="000553F3" w:rsidRPr="00BE12F3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>bis</w:t>
      </w:r>
      <w:r w:rsidR="00843B69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 xml:space="preserve"> 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>e</w:t>
      </w:r>
      <w:r w:rsidR="00843B69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>-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>meeting.</w:t>
      </w:r>
    </w:p>
    <w:p w14:paraId="33351CF2" w14:textId="51721D53" w:rsidR="00180374" w:rsidRPr="00B1244C" w:rsidRDefault="00EE59AA" w:rsidP="001A584C">
      <w:pPr>
        <w:widowControl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360" w:lineRule="auto"/>
        <w:ind w:left="420"/>
        <w:textAlignment w:val="baseline"/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</w:pPr>
      <w:r w:rsidRPr="00BE12F3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>Chairman notes of RAN2 11</w:t>
      </w:r>
      <w:r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>5</w:t>
      </w:r>
      <w:r w:rsidR="00843B69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 xml:space="preserve"> 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>e</w:t>
      </w:r>
      <w:r w:rsidR="00843B69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>-</w:t>
      </w:r>
      <w:r w:rsidRPr="00BE12F3">
        <w:rPr>
          <w:rFonts w:ascii="Times New Roman" w:eastAsia="宋体" w:hAnsi="Times New Roman" w:cs="Times New Roman"/>
          <w:kern w:val="0"/>
          <w:sz w:val="20"/>
          <w:szCs w:val="20"/>
          <w:lang w:val="x-none"/>
        </w:rPr>
        <w:t>meeting.</w:t>
      </w:r>
    </w:p>
    <w:sectPr w:rsidR="00180374" w:rsidRPr="00B1244C" w:rsidSect="0085683C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A5E1EB" w14:textId="77777777" w:rsidR="00696365" w:rsidRDefault="00696365" w:rsidP="00AA3FAE">
      <w:r>
        <w:separator/>
      </w:r>
    </w:p>
  </w:endnote>
  <w:endnote w:type="continuationSeparator" w:id="0">
    <w:p w14:paraId="6731BF7E" w14:textId="77777777" w:rsidR="00696365" w:rsidRDefault="00696365" w:rsidP="00AA3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411677" w14:textId="77777777" w:rsidR="00B41AA4" w:rsidRDefault="00FF2385">
    <w:pPr>
      <w:pStyle w:val="a5"/>
      <w:tabs>
        <w:tab w:val="center" w:pos="4820"/>
        <w:tab w:val="right" w:pos="9639"/>
      </w:tabs>
    </w:pPr>
    <w:r>
      <w:tab/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</w:rPr>
      <w:t>3</w:t>
    </w:r>
    <w:r>
      <w:rPr>
        <w:rStyle w:val="a7"/>
      </w:rPr>
      <w:fldChar w:fldCharType="end"/>
    </w:r>
    <w:r>
      <w:rPr>
        <w:rStyle w:val="a7"/>
      </w:rPr>
      <w:t>/</w:t>
    </w:r>
    <w:r>
      <w:rPr>
        <w:rStyle w:val="a7"/>
      </w:rPr>
      <w:fldChar w:fldCharType="begin"/>
    </w:r>
    <w:r>
      <w:rPr>
        <w:rStyle w:val="a7"/>
      </w:rPr>
      <w:instrText xml:space="preserve"> NUMPAGES </w:instrText>
    </w:r>
    <w:r>
      <w:rPr>
        <w:rStyle w:val="a7"/>
      </w:rPr>
      <w:fldChar w:fldCharType="separate"/>
    </w:r>
    <w:r>
      <w:rPr>
        <w:rStyle w:val="a7"/>
      </w:rPr>
      <w:t>4</w:t>
    </w:r>
    <w:r>
      <w:rPr>
        <w:rStyle w:val="a7"/>
      </w:rP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B4B239" w14:textId="77777777" w:rsidR="00696365" w:rsidRDefault="00696365" w:rsidP="00AA3FAE">
      <w:r>
        <w:separator/>
      </w:r>
    </w:p>
  </w:footnote>
  <w:footnote w:type="continuationSeparator" w:id="0">
    <w:p w14:paraId="41C979DE" w14:textId="77777777" w:rsidR="00696365" w:rsidRDefault="00696365" w:rsidP="00AA3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B24677" w14:textId="77777777" w:rsidR="00B41AA4" w:rsidRDefault="00FF2385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217E5"/>
    <w:multiLevelType w:val="hybridMultilevel"/>
    <w:tmpl w:val="AEFEBB4E"/>
    <w:lvl w:ilvl="0" w:tplc="0FE299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4191B"/>
    <w:multiLevelType w:val="hybridMultilevel"/>
    <w:tmpl w:val="CFFEDC1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139C737C"/>
    <w:multiLevelType w:val="hybridMultilevel"/>
    <w:tmpl w:val="37923F8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eastAsia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AB5369"/>
    <w:multiLevelType w:val="hybridMultilevel"/>
    <w:tmpl w:val="C8AADF34"/>
    <w:lvl w:ilvl="0" w:tplc="817603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287E82"/>
    <w:multiLevelType w:val="hybridMultilevel"/>
    <w:tmpl w:val="3312C4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8" w15:restartNumberingAfterBreak="0">
    <w:nsid w:val="39CB50B8"/>
    <w:multiLevelType w:val="hybridMultilevel"/>
    <w:tmpl w:val="F1CCA4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0A26513"/>
    <w:multiLevelType w:val="hybridMultilevel"/>
    <w:tmpl w:val="CD90B98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65A06A15"/>
    <w:multiLevelType w:val="hybridMultilevel"/>
    <w:tmpl w:val="0324F0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D354A5E"/>
    <w:multiLevelType w:val="hybridMultilevel"/>
    <w:tmpl w:val="8806D4AE"/>
    <w:lvl w:ilvl="0" w:tplc="0FE2991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01"/>
        </w:tabs>
        <w:ind w:left="6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321"/>
        </w:tabs>
        <w:ind w:left="13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41"/>
        </w:tabs>
        <w:ind w:left="20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1"/>
        </w:tabs>
        <w:ind w:left="27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1"/>
        </w:tabs>
        <w:ind w:left="34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1"/>
        </w:tabs>
        <w:ind w:left="42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1"/>
        </w:tabs>
        <w:ind w:left="49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1"/>
        </w:tabs>
        <w:ind w:left="564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9"/>
  </w:num>
  <w:num w:numId="5">
    <w:abstractNumId w:val="5"/>
  </w:num>
  <w:num w:numId="6">
    <w:abstractNumId w:val="12"/>
  </w:num>
  <w:num w:numId="7">
    <w:abstractNumId w:val="10"/>
  </w:num>
  <w:num w:numId="8">
    <w:abstractNumId w:val="6"/>
  </w:num>
  <w:num w:numId="9">
    <w:abstractNumId w:val="0"/>
  </w:num>
  <w:num w:numId="10">
    <w:abstractNumId w:val="3"/>
  </w:num>
  <w:num w:numId="11">
    <w:abstractNumId w:val="8"/>
  </w:num>
  <w:num w:numId="12">
    <w:abstractNumId w:val="11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F7E"/>
    <w:rsid w:val="000052D9"/>
    <w:rsid w:val="00006633"/>
    <w:rsid w:val="0000703A"/>
    <w:rsid w:val="000078D6"/>
    <w:rsid w:val="00010B0E"/>
    <w:rsid w:val="00033584"/>
    <w:rsid w:val="00043B7B"/>
    <w:rsid w:val="000502FD"/>
    <w:rsid w:val="000505CB"/>
    <w:rsid w:val="000553F3"/>
    <w:rsid w:val="000566E1"/>
    <w:rsid w:val="00060A16"/>
    <w:rsid w:val="00064FA3"/>
    <w:rsid w:val="000752E1"/>
    <w:rsid w:val="00080CC2"/>
    <w:rsid w:val="00082EC4"/>
    <w:rsid w:val="0008408F"/>
    <w:rsid w:val="000B09C9"/>
    <w:rsid w:val="000B161E"/>
    <w:rsid w:val="000B1D18"/>
    <w:rsid w:val="000B448F"/>
    <w:rsid w:val="000B6690"/>
    <w:rsid w:val="000C008E"/>
    <w:rsid w:val="000C0937"/>
    <w:rsid w:val="000D2B2B"/>
    <w:rsid w:val="000E5519"/>
    <w:rsid w:val="000E7279"/>
    <w:rsid w:val="000F060D"/>
    <w:rsid w:val="000F40EC"/>
    <w:rsid w:val="001119CE"/>
    <w:rsid w:val="00111B28"/>
    <w:rsid w:val="00123AA9"/>
    <w:rsid w:val="00134957"/>
    <w:rsid w:val="00143203"/>
    <w:rsid w:val="00144C24"/>
    <w:rsid w:val="001556FC"/>
    <w:rsid w:val="00156E54"/>
    <w:rsid w:val="00161450"/>
    <w:rsid w:val="00180374"/>
    <w:rsid w:val="00186944"/>
    <w:rsid w:val="00190FAF"/>
    <w:rsid w:val="001A2383"/>
    <w:rsid w:val="001A34F9"/>
    <w:rsid w:val="001A584C"/>
    <w:rsid w:val="001A5FEB"/>
    <w:rsid w:val="001B1D5F"/>
    <w:rsid w:val="001B7E53"/>
    <w:rsid w:val="001C1DAB"/>
    <w:rsid w:val="001C473D"/>
    <w:rsid w:val="001D217B"/>
    <w:rsid w:val="001D5F73"/>
    <w:rsid w:val="001D70B0"/>
    <w:rsid w:val="001E6771"/>
    <w:rsid w:val="00201BBE"/>
    <w:rsid w:val="00212DB4"/>
    <w:rsid w:val="002136B8"/>
    <w:rsid w:val="002334C4"/>
    <w:rsid w:val="00233E1E"/>
    <w:rsid w:val="002340BA"/>
    <w:rsid w:val="00234C75"/>
    <w:rsid w:val="00235844"/>
    <w:rsid w:val="00237A12"/>
    <w:rsid w:val="00241843"/>
    <w:rsid w:val="0024433A"/>
    <w:rsid w:val="00245E3F"/>
    <w:rsid w:val="002500C6"/>
    <w:rsid w:val="002551E1"/>
    <w:rsid w:val="00256265"/>
    <w:rsid w:val="00276F97"/>
    <w:rsid w:val="002911AD"/>
    <w:rsid w:val="00294A99"/>
    <w:rsid w:val="00296038"/>
    <w:rsid w:val="002A52AF"/>
    <w:rsid w:val="002B110B"/>
    <w:rsid w:val="002C1AD2"/>
    <w:rsid w:val="002E692B"/>
    <w:rsid w:val="002F4EF9"/>
    <w:rsid w:val="002F5ADB"/>
    <w:rsid w:val="002F7DD1"/>
    <w:rsid w:val="0030141D"/>
    <w:rsid w:val="003017B1"/>
    <w:rsid w:val="00304AB3"/>
    <w:rsid w:val="003179AD"/>
    <w:rsid w:val="00320179"/>
    <w:rsid w:val="00320565"/>
    <w:rsid w:val="0032189B"/>
    <w:rsid w:val="00330B37"/>
    <w:rsid w:val="003321C1"/>
    <w:rsid w:val="00343CCD"/>
    <w:rsid w:val="00360384"/>
    <w:rsid w:val="0037446F"/>
    <w:rsid w:val="00380000"/>
    <w:rsid w:val="003826D3"/>
    <w:rsid w:val="00390E73"/>
    <w:rsid w:val="00394045"/>
    <w:rsid w:val="003A0B1A"/>
    <w:rsid w:val="003A4A2A"/>
    <w:rsid w:val="003A5735"/>
    <w:rsid w:val="003B751D"/>
    <w:rsid w:val="003C1E19"/>
    <w:rsid w:val="003C6C01"/>
    <w:rsid w:val="003D1A4E"/>
    <w:rsid w:val="003D3CD3"/>
    <w:rsid w:val="003D4A95"/>
    <w:rsid w:val="003F476B"/>
    <w:rsid w:val="0040415F"/>
    <w:rsid w:val="00414D11"/>
    <w:rsid w:val="00415D56"/>
    <w:rsid w:val="00433752"/>
    <w:rsid w:val="0043723B"/>
    <w:rsid w:val="00463114"/>
    <w:rsid w:val="0046367F"/>
    <w:rsid w:val="0047389C"/>
    <w:rsid w:val="004774BA"/>
    <w:rsid w:val="00494DF4"/>
    <w:rsid w:val="004A1AEA"/>
    <w:rsid w:val="004A42BB"/>
    <w:rsid w:val="004B6657"/>
    <w:rsid w:val="004C60BA"/>
    <w:rsid w:val="004C735E"/>
    <w:rsid w:val="004D32F2"/>
    <w:rsid w:val="00520A23"/>
    <w:rsid w:val="0052635C"/>
    <w:rsid w:val="00530A86"/>
    <w:rsid w:val="0053228F"/>
    <w:rsid w:val="005458DC"/>
    <w:rsid w:val="00555FA0"/>
    <w:rsid w:val="00563788"/>
    <w:rsid w:val="00564234"/>
    <w:rsid w:val="00574D98"/>
    <w:rsid w:val="00575290"/>
    <w:rsid w:val="00585310"/>
    <w:rsid w:val="0058635A"/>
    <w:rsid w:val="00587A04"/>
    <w:rsid w:val="005948A9"/>
    <w:rsid w:val="00595EA0"/>
    <w:rsid w:val="005A382F"/>
    <w:rsid w:val="005A5B85"/>
    <w:rsid w:val="005A69FF"/>
    <w:rsid w:val="005B2E70"/>
    <w:rsid w:val="005B7C38"/>
    <w:rsid w:val="005C2CC5"/>
    <w:rsid w:val="005C4076"/>
    <w:rsid w:val="005C7475"/>
    <w:rsid w:val="005D4C79"/>
    <w:rsid w:val="005D7561"/>
    <w:rsid w:val="005F12BE"/>
    <w:rsid w:val="005F67EC"/>
    <w:rsid w:val="006125F9"/>
    <w:rsid w:val="006131D5"/>
    <w:rsid w:val="00617F75"/>
    <w:rsid w:val="00637F05"/>
    <w:rsid w:val="00644E1A"/>
    <w:rsid w:val="00664B31"/>
    <w:rsid w:val="00666EA1"/>
    <w:rsid w:val="00672C28"/>
    <w:rsid w:val="00674294"/>
    <w:rsid w:val="006800AE"/>
    <w:rsid w:val="006812B2"/>
    <w:rsid w:val="006935B9"/>
    <w:rsid w:val="00696365"/>
    <w:rsid w:val="0069713B"/>
    <w:rsid w:val="00697690"/>
    <w:rsid w:val="006A22C3"/>
    <w:rsid w:val="006B2408"/>
    <w:rsid w:val="006D62EA"/>
    <w:rsid w:val="006E7CED"/>
    <w:rsid w:val="006E7F53"/>
    <w:rsid w:val="006F5211"/>
    <w:rsid w:val="006F7948"/>
    <w:rsid w:val="006F7A32"/>
    <w:rsid w:val="006F7D1A"/>
    <w:rsid w:val="00701C8C"/>
    <w:rsid w:val="00703BAA"/>
    <w:rsid w:val="00705F1D"/>
    <w:rsid w:val="00707369"/>
    <w:rsid w:val="00711D23"/>
    <w:rsid w:val="0073082C"/>
    <w:rsid w:val="00733434"/>
    <w:rsid w:val="0074111A"/>
    <w:rsid w:val="00754E64"/>
    <w:rsid w:val="00760F34"/>
    <w:rsid w:val="00775B18"/>
    <w:rsid w:val="0078172C"/>
    <w:rsid w:val="00791DDB"/>
    <w:rsid w:val="0079372D"/>
    <w:rsid w:val="00793C33"/>
    <w:rsid w:val="0079729D"/>
    <w:rsid w:val="007A01FD"/>
    <w:rsid w:val="007A5DEA"/>
    <w:rsid w:val="007E213F"/>
    <w:rsid w:val="007E2DF6"/>
    <w:rsid w:val="007F0740"/>
    <w:rsid w:val="007F30C7"/>
    <w:rsid w:val="00803FA0"/>
    <w:rsid w:val="00817607"/>
    <w:rsid w:val="0084197E"/>
    <w:rsid w:val="00843B69"/>
    <w:rsid w:val="00852049"/>
    <w:rsid w:val="00856607"/>
    <w:rsid w:val="0085709E"/>
    <w:rsid w:val="008644CD"/>
    <w:rsid w:val="008666A0"/>
    <w:rsid w:val="00880DB1"/>
    <w:rsid w:val="0088277A"/>
    <w:rsid w:val="00882FE4"/>
    <w:rsid w:val="00885223"/>
    <w:rsid w:val="00890562"/>
    <w:rsid w:val="0089164C"/>
    <w:rsid w:val="00895539"/>
    <w:rsid w:val="00897B68"/>
    <w:rsid w:val="008A15DE"/>
    <w:rsid w:val="008A6990"/>
    <w:rsid w:val="008C6EE5"/>
    <w:rsid w:val="008E1226"/>
    <w:rsid w:val="008E1EF4"/>
    <w:rsid w:val="008E7911"/>
    <w:rsid w:val="008E7975"/>
    <w:rsid w:val="0090218F"/>
    <w:rsid w:val="00912CF1"/>
    <w:rsid w:val="0091699B"/>
    <w:rsid w:val="00927B05"/>
    <w:rsid w:val="0094045F"/>
    <w:rsid w:val="009460B5"/>
    <w:rsid w:val="009479CD"/>
    <w:rsid w:val="00950DBC"/>
    <w:rsid w:val="00952028"/>
    <w:rsid w:val="0095297E"/>
    <w:rsid w:val="009647DC"/>
    <w:rsid w:val="009862F0"/>
    <w:rsid w:val="009912C5"/>
    <w:rsid w:val="009B6584"/>
    <w:rsid w:val="009B6D99"/>
    <w:rsid w:val="009C0AD1"/>
    <w:rsid w:val="009C1FC3"/>
    <w:rsid w:val="009E506A"/>
    <w:rsid w:val="009F010A"/>
    <w:rsid w:val="009F1A67"/>
    <w:rsid w:val="009F2104"/>
    <w:rsid w:val="00A00FC5"/>
    <w:rsid w:val="00A25C57"/>
    <w:rsid w:val="00A33FE5"/>
    <w:rsid w:val="00A620B4"/>
    <w:rsid w:val="00A63D25"/>
    <w:rsid w:val="00A675C7"/>
    <w:rsid w:val="00A75B82"/>
    <w:rsid w:val="00A765AC"/>
    <w:rsid w:val="00A85027"/>
    <w:rsid w:val="00A865C2"/>
    <w:rsid w:val="00AA2C1B"/>
    <w:rsid w:val="00AA3756"/>
    <w:rsid w:val="00AA3FAE"/>
    <w:rsid w:val="00AA7EAE"/>
    <w:rsid w:val="00AB10F0"/>
    <w:rsid w:val="00AB1F9C"/>
    <w:rsid w:val="00AC3051"/>
    <w:rsid w:val="00AE1A23"/>
    <w:rsid w:val="00AE3826"/>
    <w:rsid w:val="00AF1285"/>
    <w:rsid w:val="00AF2710"/>
    <w:rsid w:val="00B1244C"/>
    <w:rsid w:val="00B25314"/>
    <w:rsid w:val="00B33EE7"/>
    <w:rsid w:val="00B403D4"/>
    <w:rsid w:val="00B445E1"/>
    <w:rsid w:val="00B4523A"/>
    <w:rsid w:val="00B57C2C"/>
    <w:rsid w:val="00B755C4"/>
    <w:rsid w:val="00B91029"/>
    <w:rsid w:val="00BA1A39"/>
    <w:rsid w:val="00BC3408"/>
    <w:rsid w:val="00BC717B"/>
    <w:rsid w:val="00BD07F6"/>
    <w:rsid w:val="00BE12F3"/>
    <w:rsid w:val="00BE3AF0"/>
    <w:rsid w:val="00C101F8"/>
    <w:rsid w:val="00C12655"/>
    <w:rsid w:val="00C1498E"/>
    <w:rsid w:val="00C31487"/>
    <w:rsid w:val="00C33EEF"/>
    <w:rsid w:val="00C447AC"/>
    <w:rsid w:val="00C448F4"/>
    <w:rsid w:val="00C50F28"/>
    <w:rsid w:val="00C51CB4"/>
    <w:rsid w:val="00C53D68"/>
    <w:rsid w:val="00C733E5"/>
    <w:rsid w:val="00C81BA0"/>
    <w:rsid w:val="00C85338"/>
    <w:rsid w:val="00C85A32"/>
    <w:rsid w:val="00C92F7E"/>
    <w:rsid w:val="00C93460"/>
    <w:rsid w:val="00CA2F8B"/>
    <w:rsid w:val="00CB3AF7"/>
    <w:rsid w:val="00CC444F"/>
    <w:rsid w:val="00CC5834"/>
    <w:rsid w:val="00CD4F3A"/>
    <w:rsid w:val="00CE0F47"/>
    <w:rsid w:val="00CE298A"/>
    <w:rsid w:val="00CE3E0A"/>
    <w:rsid w:val="00CF4D2F"/>
    <w:rsid w:val="00D104F6"/>
    <w:rsid w:val="00D2692C"/>
    <w:rsid w:val="00D26BF2"/>
    <w:rsid w:val="00D26F6E"/>
    <w:rsid w:val="00D35939"/>
    <w:rsid w:val="00D45C4F"/>
    <w:rsid w:val="00D533AB"/>
    <w:rsid w:val="00D62067"/>
    <w:rsid w:val="00D66019"/>
    <w:rsid w:val="00D75DA1"/>
    <w:rsid w:val="00D76F6E"/>
    <w:rsid w:val="00D85925"/>
    <w:rsid w:val="00D85C0E"/>
    <w:rsid w:val="00D93EA0"/>
    <w:rsid w:val="00D956D6"/>
    <w:rsid w:val="00D95BAB"/>
    <w:rsid w:val="00DA668A"/>
    <w:rsid w:val="00DC21C1"/>
    <w:rsid w:val="00DC3576"/>
    <w:rsid w:val="00DC494E"/>
    <w:rsid w:val="00DD4FF8"/>
    <w:rsid w:val="00DE44DC"/>
    <w:rsid w:val="00DE6548"/>
    <w:rsid w:val="00DE7ED2"/>
    <w:rsid w:val="00DF0AB0"/>
    <w:rsid w:val="00DF42EB"/>
    <w:rsid w:val="00DF66F0"/>
    <w:rsid w:val="00E0074B"/>
    <w:rsid w:val="00E03DF5"/>
    <w:rsid w:val="00E06C9B"/>
    <w:rsid w:val="00E31238"/>
    <w:rsid w:val="00E35383"/>
    <w:rsid w:val="00E3573E"/>
    <w:rsid w:val="00E45A53"/>
    <w:rsid w:val="00E52A20"/>
    <w:rsid w:val="00E55D1E"/>
    <w:rsid w:val="00E62A8E"/>
    <w:rsid w:val="00E65775"/>
    <w:rsid w:val="00E8113F"/>
    <w:rsid w:val="00EB4E5F"/>
    <w:rsid w:val="00EC5ADF"/>
    <w:rsid w:val="00EE3198"/>
    <w:rsid w:val="00EE43E9"/>
    <w:rsid w:val="00EE59AA"/>
    <w:rsid w:val="00EE70D6"/>
    <w:rsid w:val="00EF2257"/>
    <w:rsid w:val="00EF57C9"/>
    <w:rsid w:val="00F02892"/>
    <w:rsid w:val="00F03209"/>
    <w:rsid w:val="00F06A89"/>
    <w:rsid w:val="00F223C0"/>
    <w:rsid w:val="00F23F71"/>
    <w:rsid w:val="00F27DE5"/>
    <w:rsid w:val="00F376F2"/>
    <w:rsid w:val="00F52357"/>
    <w:rsid w:val="00F56AEB"/>
    <w:rsid w:val="00F56B33"/>
    <w:rsid w:val="00F572B4"/>
    <w:rsid w:val="00F61204"/>
    <w:rsid w:val="00F6131B"/>
    <w:rsid w:val="00F6624F"/>
    <w:rsid w:val="00F862F2"/>
    <w:rsid w:val="00F90279"/>
    <w:rsid w:val="00F910F0"/>
    <w:rsid w:val="00FA440F"/>
    <w:rsid w:val="00FC144A"/>
    <w:rsid w:val="00FC1962"/>
    <w:rsid w:val="00FE796C"/>
    <w:rsid w:val="00FF1C80"/>
    <w:rsid w:val="00FF2385"/>
    <w:rsid w:val="00FF4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EC6354"/>
  <w15:chartTrackingRefBased/>
  <w15:docId w15:val="{1276B771-834B-4A4F-948C-F54680CA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164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A3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A3FA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A3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A3FAE"/>
    <w:rPr>
      <w:sz w:val="18"/>
      <w:szCs w:val="18"/>
    </w:rPr>
  </w:style>
  <w:style w:type="character" w:styleId="a7">
    <w:name w:val="page number"/>
    <w:semiHidden/>
    <w:rsid w:val="00AA3FAE"/>
  </w:style>
  <w:style w:type="paragraph" w:styleId="a8">
    <w:name w:val="Balloon Text"/>
    <w:basedOn w:val="a"/>
    <w:link w:val="a9"/>
    <w:uiPriority w:val="99"/>
    <w:semiHidden/>
    <w:unhideWhenUsed/>
    <w:rsid w:val="00F52357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2357"/>
    <w:rPr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0566E1"/>
    <w:rPr>
      <w:sz w:val="21"/>
      <w:szCs w:val="21"/>
    </w:rPr>
  </w:style>
  <w:style w:type="table" w:styleId="ab">
    <w:name w:val="Table Grid"/>
    <w:basedOn w:val="a1"/>
    <w:uiPriority w:val="39"/>
    <w:rsid w:val="00C53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064FA3"/>
    <w:pPr>
      <w:ind w:firstLineChars="200" w:firstLine="420"/>
    </w:pPr>
  </w:style>
  <w:style w:type="paragraph" w:styleId="ad">
    <w:name w:val="annotation text"/>
    <w:basedOn w:val="a"/>
    <w:link w:val="ae"/>
    <w:uiPriority w:val="99"/>
    <w:semiHidden/>
    <w:unhideWhenUsed/>
    <w:rsid w:val="00AF2710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AF2710"/>
  </w:style>
  <w:style w:type="paragraph" w:styleId="af">
    <w:name w:val="annotation subject"/>
    <w:basedOn w:val="ad"/>
    <w:next w:val="ad"/>
    <w:link w:val="af0"/>
    <w:uiPriority w:val="99"/>
    <w:semiHidden/>
    <w:unhideWhenUsed/>
    <w:rsid w:val="00AF2710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AF2710"/>
    <w:rPr>
      <w:b/>
      <w:bCs/>
    </w:rPr>
  </w:style>
  <w:style w:type="paragraph" w:customStyle="1" w:styleId="Agreement">
    <w:name w:val="Agreement"/>
    <w:basedOn w:val="a"/>
    <w:next w:val="a"/>
    <w:uiPriority w:val="99"/>
    <w:qFormat/>
    <w:rsid w:val="00927B05"/>
    <w:pPr>
      <w:widowControl/>
      <w:numPr>
        <w:numId w:val="6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113F0C-EC81-4187-A1D5-F48B8820B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1681</TotalTime>
  <Pages>3</Pages>
  <Words>933</Words>
  <Characters>5320</Characters>
  <Application>Microsoft Office Word</Application>
  <DocSecurity>0</DocSecurity>
  <Lines>44</Lines>
  <Paragraphs>12</Paragraphs>
  <ScaleCrop>false</ScaleCrop>
  <Company/>
  <LinksUpToDate>false</LinksUpToDate>
  <CharactersWithSpaces>6241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Yibin YB1 Zhuo</dc:creator>
  <cp:keywords/>
  <dc:description/>
  <cp:lastModifiedBy>Lenovo</cp:lastModifiedBy>
  <cp:revision>114</cp:revision>
  <dcterms:created xsi:type="dcterms:W3CDTF">2021-01-15T02:11:00Z</dcterms:created>
  <dcterms:modified xsi:type="dcterms:W3CDTF">2021-10-22T01:31:00Z</dcterms:modified>
</cp:coreProperties>
</file>